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F3864" w:sz="1"/>
              <w:left w:val="single" w:color="1F3864" w:sz="1"/>
              <w:bottom w:val="single" w:color="1F3864" w:sz="1"/>
              <w:right w:val="single" w:color="1F3864" w:sz="1"/>
            </w:tcBorders>
            <w:shd w:fill="1F3864" w:val="clear"/>
            <w:tcMar>
              <w:top w:type="dxa" w:w="400"/>
              <w:left w:type="dxa" w:w="400"/>
              <w:bottom w:type="dxa" w:w="400"/>
              <w:right w:type="dxa" w:w="400"/>
            </w:tcMar>
          </w:tcPr>
          <w:p>
            <w:pPr>
              <w:jc w:val="center"/>
            </w:pPr>
            <w:r>
              <w:rPr>
                <w:rFonts w:ascii="Arial" w:cs="Arial" w:eastAsia="Arial" w:hAnsi="Arial"/>
                <w:b/>
                <w:bCs/>
                <w:color w:val="FFFFFF"/>
                <w:sz w:val="40"/>
                <w:szCs w:val="40"/>
              </w:rPr>
              <w:t xml:space="preserve">A1A2A3 TECHNOLOGIES PVT. LTD.</w:t>
            </w:r>
          </w:p>
          <w:p>
            <w:pPr>
              <w:jc w:val="center"/>
            </w:pPr>
            <w:r>
              <w:rPr>
                <w:rFonts w:ascii="Arial" w:cs="Arial" w:eastAsia="Arial" w:hAnsi="Arial"/>
                <w:color w:val="BDD7EE"/>
                <w:sz w:val="28"/>
                <w:szCs w:val="28"/>
              </w:rPr>
              <w:t xml:space="preserve">Data Protection &amp; Privacy Policy</w:t>
            </w:r>
          </w:p>
          <w:p>
            <w:pPr>
              <w:jc w:val="center"/>
            </w:pPr>
            <w:r>
              <w:rPr>
                <w:rFonts w:ascii="Arial" w:cs="Arial" w:eastAsia="Arial" w:hAnsi="Arial"/>
                <w:i/>
                <w:iCs/>
                <w:color w:val="BDD7EE"/>
                <w:sz w:val="20"/>
                <w:szCs w:val="20"/>
              </w:rPr>
              <w:t xml:space="preserve">Version 2.1  |  Effective: 1 January 2024</w:t>
            </w:r>
          </w:p>
        </w:tc>
      </w:tr>
    </w:tbl>
    <w:p>
      <w:pPr>
        <w:spacing w:after="100"/>
      </w:pPr>
      <w:r>
        <w:t xml:space="preserve"/>
      </w:r>
    </w:p>
    <w:p>
      <w:pPr>
        <w:spacing w:after="160"/>
      </w:pPr>
      <w:r>
        <w:rPr>
          <w:rFonts w:ascii="Arial" w:cs="Arial" w:eastAsia="Arial" w:hAnsi="Arial"/>
          <w:sz w:val="22"/>
          <w:szCs w:val="22"/>
        </w:rPr>
        <w:t xml:space="preserve">Registered Office: Unit 4B, Tech Park, Whitefield, Bengaluru – 560066, Karnataka, India</w:t>
      </w:r>
    </w:p>
    <w:p>
      <w:pPr>
        <w:spacing w:after="160"/>
      </w:pPr>
      <w:r>
        <w:rPr>
          <w:rFonts w:ascii="Arial" w:cs="Arial" w:eastAsia="Arial" w:hAnsi="Arial"/>
          <w:sz w:val="22"/>
          <w:szCs w:val="22"/>
        </w:rPr>
        <w:t xml:space="preserve">EU Representative (Art. 27 GDPR): A1A2A3 Europe GmbH, Unter den Linden 10, 10117 Berlin, Germany</w:t>
      </w:r>
    </w:p>
    <w:p>
      <w:pPr>
        <w:spacing w:after="100"/>
      </w:pPr>
      <w:r>
        <w:t xml:space="preserve"/>
      </w:r>
    </w:p>
    <w:p>
      <w:pPr>
        <w:pStyle w:val="Heading1"/>
        <w:spacing w:after="180" w:before="360"/>
      </w:pPr>
      <w:r>
        <w:rPr>
          <w:rFonts w:ascii="Arial" w:cs="Arial" w:eastAsia="Arial" w:hAnsi="Arial"/>
          <w:b/>
          <w:bCs/>
          <w:color w:val="1F3864"/>
          <w:sz w:val="32"/>
          <w:szCs w:val="32"/>
        </w:rPr>
        <w:t xml:space="preserve">1. Scope and Applicability</w:t>
      </w:r>
    </w:p>
    <w:p>
      <w:pPr>
        <w:spacing w:after="160"/>
      </w:pPr>
      <w:r>
        <w:rPr>
          <w:rFonts w:ascii="Arial" w:cs="Arial" w:eastAsia="Arial" w:hAnsi="Arial"/>
          <w:sz w:val="22"/>
          <w:szCs w:val="22"/>
        </w:rPr>
        <w:t xml:space="preserve">This Policy applies to all users, customers, vendors, and employees of A1A2A3 Technologies Pvt. Ltd. ("A1A2A3", "we", "us") worldwide. It governs the collection, use, storage, sharing, and disposal of personal data in connection with our SaaS platform, mobile applications, and professional services.</w:t>
      </w:r>
    </w:p>
    <w:p>
      <w:pPr>
        <w:spacing w:after="160"/>
      </w:pPr>
      <w:r>
        <w:rPr>
          <w:rFonts w:ascii="Arial" w:cs="Arial" w:eastAsia="Arial" w:hAnsi="Arial"/>
          <w:sz w:val="22"/>
          <w:szCs w:val="22"/>
        </w:rPr>
        <w:t xml:space="preserve">A1A2A3 acts as both a Data Fiduciary under the Digital Personal Data Protection Act, 2023 ("DPDPA") and a Data Controller under the General Data Protection Regulation (EU) 2016/679 ("GDPR") depending on the context of processing.</w:t>
      </w:r>
    </w:p>
    <w:p>
      <w:pPr>
        <w:spacing w:after="100"/>
      </w:pPr>
      <w:r>
        <w:t xml:space="preserve"/>
      </w:r>
    </w:p>
    <w:p>
      <w:pPr>
        <w:pStyle w:val="Heading1"/>
        <w:spacing w:after="180" w:before="360"/>
      </w:pPr>
      <w:r>
        <w:rPr>
          <w:rFonts w:ascii="Arial" w:cs="Arial" w:eastAsia="Arial" w:hAnsi="Arial"/>
          <w:b/>
          <w:bCs/>
          <w:color w:val="1F3864"/>
          <w:sz w:val="32"/>
          <w:szCs w:val="32"/>
        </w:rPr>
        <w:t xml:space="preserve">2. Categories of Personal Data Collected</w:t>
      </w:r>
    </w:p>
    <w:p>
      <w:pPr>
        <w:pStyle w:val="Heading2"/>
        <w:spacing w:after="120" w:before="240"/>
      </w:pPr>
      <w:r>
        <w:rPr>
          <w:rFonts w:ascii="Arial" w:cs="Arial" w:eastAsia="Arial" w:hAnsi="Arial"/>
          <w:b/>
          <w:bCs/>
          <w:color w:val="2E75B6"/>
          <w:sz w:val="26"/>
          <w:szCs w:val="26"/>
        </w:rPr>
        <w:t xml:space="preserve">2.1 Data Collected Directly</w:t>
      </w:r>
    </w:p>
    <w:p>
      <w:pPr>
        <w:pStyle w:val="ListParagraph"/>
        <w:numPr>
          <w:ilvl w:val="0"/>
          <w:numId w:val="2"/>
        </w:numPr>
        <w:spacing w:after="100"/>
      </w:pPr>
      <w:r>
        <w:rPr>
          <w:rFonts w:ascii="Arial" w:cs="Arial" w:eastAsia="Arial" w:hAnsi="Arial"/>
          <w:sz w:val="22"/>
          <w:szCs w:val="22"/>
        </w:rPr>
        <w:t xml:space="preserve">Identity data: full name, date of birth, government-issued ID numbers</w:t>
      </w:r>
    </w:p>
    <w:p>
      <w:pPr>
        <w:pStyle w:val="ListParagraph"/>
        <w:numPr>
          <w:ilvl w:val="0"/>
          <w:numId w:val="2"/>
        </w:numPr>
        <w:spacing w:after="100"/>
      </w:pPr>
      <w:r>
        <w:rPr>
          <w:rFonts w:ascii="Arial" w:cs="Arial" w:eastAsia="Arial" w:hAnsi="Arial"/>
          <w:sz w:val="22"/>
          <w:szCs w:val="22"/>
        </w:rPr>
        <w:t xml:space="preserve">Contact data: email address, mobile number, postal address</w:t>
      </w:r>
    </w:p>
    <w:p>
      <w:pPr>
        <w:pStyle w:val="ListParagraph"/>
        <w:numPr>
          <w:ilvl w:val="0"/>
          <w:numId w:val="2"/>
        </w:numPr>
        <w:spacing w:after="100"/>
      </w:pPr>
      <w:r>
        <w:rPr>
          <w:rFonts w:ascii="Arial" w:cs="Arial" w:eastAsia="Arial" w:hAnsi="Arial"/>
          <w:sz w:val="22"/>
          <w:szCs w:val="22"/>
        </w:rPr>
        <w:t xml:space="preserve">Financial data: bank account numbers, UPI IDs, credit/debit card details, transaction history</w:t>
      </w:r>
    </w:p>
    <w:p>
      <w:pPr>
        <w:pStyle w:val="ListParagraph"/>
        <w:numPr>
          <w:ilvl w:val="0"/>
          <w:numId w:val="2"/>
        </w:numPr>
        <w:spacing w:after="100"/>
      </w:pPr>
      <w:r>
        <w:rPr>
          <w:rFonts w:ascii="Arial" w:cs="Arial" w:eastAsia="Arial" w:hAnsi="Arial"/>
          <w:sz w:val="22"/>
          <w:szCs w:val="22"/>
        </w:rPr>
        <w:t xml:space="preserve">Biometric data: facial recognition templates used for identity verification on our mobile app</w:t>
      </w:r>
    </w:p>
    <w:p>
      <w:pPr>
        <w:pStyle w:val="ListParagraph"/>
        <w:numPr>
          <w:ilvl w:val="0"/>
          <w:numId w:val="2"/>
        </w:numPr>
        <w:spacing w:after="100"/>
      </w:pPr>
      <w:r>
        <w:rPr>
          <w:rFonts w:ascii="Arial" w:cs="Arial" w:eastAsia="Arial" w:hAnsi="Arial"/>
          <w:sz w:val="22"/>
          <w:szCs w:val="22"/>
        </w:rPr>
        <w:t xml:space="preserve">Health &amp; wellness data: collected through our A1A2A3 Wellbeing module (optional)</w:t>
      </w:r>
    </w:p>
    <w:p>
      <w:pPr>
        <w:pStyle w:val="ListParagraph"/>
        <w:numPr>
          <w:ilvl w:val="0"/>
          <w:numId w:val="2"/>
        </w:numPr>
        <w:spacing w:after="100"/>
      </w:pPr>
      <w:r>
        <w:rPr>
          <w:rFonts w:ascii="Arial" w:cs="Arial" w:eastAsia="Arial" w:hAnsi="Arial"/>
          <w:sz w:val="22"/>
          <w:szCs w:val="22"/>
        </w:rPr>
        <w:t xml:space="preserve">Employment data: designation, salary band, employer name (for B2B users)</w:t>
      </w:r>
    </w:p>
    <w:p>
      <w:pPr>
        <w:spacing w:after="160"/>
      </w:pPr>
      <w:r>
        <w:rPr>
          <w:rFonts w:ascii="Arial" w:cs="Arial" w:eastAsia="Arial" w:hAnsi="Arial"/>
          <w:sz w:val="22"/>
          <w:szCs w:val="22"/>
        </w:rPr>
        <w:t xml:space="preserve">We may also collect your caste, religion, or political affiliation where required for regulatory filings or government-mandated services.</w:t>
      </w:r>
    </w:p>
    <w:p>
      <w:pPr>
        <w:spacing w:after="100"/>
      </w:pPr>
      <w:r>
        <w:t xml:space="preserve"/>
      </w:r>
    </w:p>
    <w:p>
      <w:pPr>
        <w:pStyle w:val="Heading2"/>
        <w:spacing w:after="120" w:before="240"/>
      </w:pPr>
      <w:r>
        <w:rPr>
          <w:rFonts w:ascii="Arial" w:cs="Arial" w:eastAsia="Arial" w:hAnsi="Arial"/>
          <w:b/>
          <w:bCs/>
          <w:color w:val="2E75B6"/>
          <w:sz w:val="26"/>
          <w:szCs w:val="26"/>
        </w:rPr>
        <w:t xml:space="preserve">2.2 Data Collected Automatically</w:t>
      </w:r>
    </w:p>
    <w:p>
      <w:pPr>
        <w:pStyle w:val="ListParagraph"/>
        <w:numPr>
          <w:ilvl w:val="0"/>
          <w:numId w:val="2"/>
        </w:numPr>
        <w:spacing w:after="100"/>
      </w:pPr>
      <w:r>
        <w:rPr>
          <w:rFonts w:ascii="Arial" w:cs="Arial" w:eastAsia="Arial" w:hAnsi="Arial"/>
          <w:sz w:val="22"/>
          <w:szCs w:val="22"/>
        </w:rPr>
        <w:t xml:space="preserve">Device identifiers, IP addresses, browser type and version</w:t>
      </w:r>
    </w:p>
    <w:p>
      <w:pPr>
        <w:pStyle w:val="ListParagraph"/>
        <w:numPr>
          <w:ilvl w:val="0"/>
          <w:numId w:val="2"/>
        </w:numPr>
        <w:spacing w:after="100"/>
      </w:pPr>
      <w:r>
        <w:rPr>
          <w:rFonts w:ascii="Arial" w:cs="Arial" w:eastAsia="Arial" w:hAnsi="Arial"/>
          <w:sz w:val="22"/>
          <w:szCs w:val="22"/>
        </w:rPr>
        <w:t xml:space="preserve">Usage patterns, click-stream data, session duration</w:t>
      </w:r>
    </w:p>
    <w:p>
      <w:pPr>
        <w:pStyle w:val="ListParagraph"/>
        <w:numPr>
          <w:ilvl w:val="0"/>
          <w:numId w:val="2"/>
        </w:numPr>
        <w:spacing w:after="100"/>
      </w:pPr>
      <w:r>
        <w:rPr>
          <w:rFonts w:ascii="Arial" w:cs="Arial" w:eastAsia="Arial" w:hAnsi="Arial"/>
          <w:sz w:val="22"/>
          <w:szCs w:val="22"/>
        </w:rPr>
        <w:t xml:space="preserve">Behavioural profiling data for personalisation and targeted advertising</w:t>
      </w:r>
    </w:p>
    <w:p>
      <w:pPr>
        <w:pStyle w:val="ListParagraph"/>
        <w:numPr>
          <w:ilvl w:val="0"/>
          <w:numId w:val="2"/>
        </w:numPr>
        <w:spacing w:after="100"/>
      </w:pPr>
      <w:r>
        <w:rPr>
          <w:rFonts w:ascii="Arial" w:cs="Arial" w:eastAsia="Arial" w:hAnsi="Arial"/>
          <w:sz w:val="22"/>
          <w:szCs w:val="22"/>
        </w:rPr>
        <w:t xml:space="preserve">Location data (precise GPS, where device permissions granted)</w:t>
      </w:r>
    </w:p>
    <w:p>
      <w:pPr>
        <w:spacing w:after="100"/>
      </w:pPr>
      <w:r>
        <w:t xml:space="preserve"/>
      </w:r>
    </w:p>
    <w:p>
      <w:pPr>
        <w:pStyle w:val="Heading1"/>
        <w:spacing w:after="180" w:before="360"/>
      </w:pPr>
      <w:r>
        <w:rPr>
          <w:rFonts w:ascii="Arial" w:cs="Arial" w:eastAsia="Arial" w:hAnsi="Arial"/>
          <w:b/>
          <w:bCs/>
          <w:color w:val="1F3864"/>
          <w:sz w:val="32"/>
          <w:szCs w:val="32"/>
        </w:rPr>
        <w:t xml:space="preserve">3. Purposes of Processing and Legal Basis</w:t>
      </w:r>
    </w:p>
    <w:p>
      <w:pPr>
        <w:spacing w:after="160"/>
      </w:pPr>
      <w:r>
        <w:rPr>
          <w:rFonts w:ascii="Arial" w:cs="Arial" w:eastAsia="Arial" w:hAnsi="Arial"/>
          <w:sz w:val="22"/>
          <w:szCs w:val="22"/>
        </w:rPr>
        <w:t xml:space="preserve">We process personal data for the following purposes. Depending on circumstances, processing may be based on your consent, performance of a contract, compliance with a legal obligation, protection of vital interests, or our legitimate business interests.</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3000"/>
        <w:gridCol w:w="2860"/>
      </w:tblGrid>
      <w:tr>
        <w:tc>
          <w:tcPr>
            <w:tcW w:type="dxa" w:w="3500"/>
            <w:tcBorders>
              <w:top w:val="single" w:color="1F3864" w:sz="1"/>
              <w:left w:val="single" w:color="1F3864" w:sz="1"/>
              <w:bottom w:val="single" w:color="1F3864" w:sz="1"/>
              <w:right w:val="single" w:color="1F3864"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Purpose</w:t>
            </w:r>
          </w:p>
        </w:tc>
        <w:tc>
          <w:tcPr>
            <w:tcW w:type="dxa" w:w="3000"/>
            <w:tcBorders>
              <w:top w:val="single" w:color="1F3864" w:sz="1"/>
              <w:left w:val="single" w:color="1F3864" w:sz="1"/>
              <w:bottom w:val="single" w:color="1F3864" w:sz="1"/>
              <w:right w:val="single" w:color="1F3864"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Data Used</w:t>
            </w:r>
          </w:p>
        </w:tc>
        <w:tc>
          <w:tcPr>
            <w:tcW w:type="dxa" w:w="2860"/>
            <w:tcBorders>
              <w:top w:val="single" w:color="1F3864" w:sz="1"/>
              <w:left w:val="single" w:color="1F3864" w:sz="1"/>
              <w:bottom w:val="single" w:color="1F3864" w:sz="1"/>
              <w:right w:val="single" w:color="1F3864"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Legal Basis</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Account creation &amp; platform access</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Identity, contact</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Contract / Consent</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Targeted advertising &amp; remarketing</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Behavioural, device</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Legitimate interests</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Biometric identity verification</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Biometric templates</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Consent / Contract</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Product analytics &amp; improvement</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Usage, click-stream</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Contractual necessity</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Financial transaction processing</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Financial data</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Contract / Legal obligation</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Health &amp; wellness insights</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Health data</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Consent</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Regulatory compliance &amp; audits</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All categories</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Legal obligation / Legitimate interests</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Personalised content for all users</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Identity, behavioural, location</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Legitimate interests</w:t>
            </w:r>
          </w:p>
        </w:tc>
      </w:tr>
    </w:tbl>
    <w:p>
      <w:pPr>
        <w:spacing w:after="100"/>
      </w:pPr>
      <w:r>
        <w:t xml:space="preserve"/>
      </w:r>
    </w:p>
    <w:p>
      <w:pPr>
        <w:pStyle w:val="Heading1"/>
        <w:spacing w:after="180" w:before="360"/>
      </w:pPr>
      <w:r>
        <w:rPr>
          <w:rFonts w:ascii="Arial" w:cs="Arial" w:eastAsia="Arial" w:hAnsi="Arial"/>
          <w:b/>
          <w:bCs/>
          <w:color w:val="1F3864"/>
          <w:sz w:val="32"/>
          <w:szCs w:val="32"/>
        </w:rPr>
        <w:t xml:space="preserve">4. Consent</w:t>
      </w:r>
    </w:p>
    <w:p>
      <w:pPr>
        <w:spacing w:after="160"/>
      </w:pPr>
      <w:r>
        <w:rPr>
          <w:rFonts w:ascii="Arial" w:cs="Arial" w:eastAsia="Arial" w:hAnsi="Arial"/>
          <w:sz w:val="22"/>
          <w:szCs w:val="22"/>
        </w:rPr>
        <w:t xml:space="preserve">By accessing or continuing to use the A1A2A3 platform, you acknowledge that you have read and agree to this Policy. Your continued use of the platform constitutes your consent to the collection and processing of your personal data as described herein.</w:t>
      </w:r>
    </w:p>
    <w:p>
      <w:pPr>
        <w:spacing w:after="160"/>
      </w:pPr>
      <w:r>
        <w:rPr>
          <w:rFonts w:ascii="Arial" w:cs="Arial" w:eastAsia="Arial" w:hAnsi="Arial"/>
          <w:sz w:val="22"/>
          <w:szCs w:val="22"/>
        </w:rPr>
        <w:t xml:space="preserve">Where we rely on consent as a legal basis, we will obtain it through our in-app notice at the time of first use. Consent to biometric processing, health data, and financial data is combined in a single acceptance during onboarding.</w:t>
      </w:r>
    </w:p>
    <w:p>
      <w:pPr>
        <w:spacing w:after="160"/>
      </w:pPr>
      <w:r>
        <w:rPr>
          <w:rFonts w:ascii="Arial" w:cs="Arial" w:eastAsia="Arial" w:hAnsi="Arial"/>
          <w:sz w:val="22"/>
          <w:szCs w:val="22"/>
        </w:rPr>
        <w:t xml:space="preserve">To withdraw consent, you must submit a written request by post to our registered office at Unit 4B, Tech Park, Whitefield, Bengaluru – 560066, accompanied by a self-attested copy of a government-issued photo ID. We will process withdrawal requests within 45 working days.</w:t>
      </w:r>
    </w:p>
    <w:p>
      <w:pPr>
        <w:spacing w:after="100"/>
      </w:pPr>
      <w:r>
        <w:t xml:space="preserve"/>
      </w:r>
    </w:p>
    <w:p>
      <w:pPr>
        <w:pStyle w:val="Heading1"/>
        <w:spacing w:after="180" w:before="360"/>
      </w:pPr>
      <w:r>
        <w:rPr>
          <w:rFonts w:ascii="Arial" w:cs="Arial" w:eastAsia="Arial" w:hAnsi="Arial"/>
          <w:b/>
          <w:bCs/>
          <w:color w:val="1F3864"/>
          <w:sz w:val="32"/>
          <w:szCs w:val="32"/>
        </w:rPr>
        <w:t xml:space="preserve">5. Children and Minors</w:t>
      </w:r>
    </w:p>
    <w:p>
      <w:pPr>
        <w:spacing w:after="160"/>
      </w:pPr>
      <w:r>
        <w:rPr>
          <w:rFonts w:ascii="Arial" w:cs="Arial" w:eastAsia="Arial" w:hAnsi="Arial"/>
          <w:sz w:val="22"/>
          <w:szCs w:val="22"/>
        </w:rPr>
        <w:t xml:space="preserve">A1A2A3 services are intended for users aged 13 and above. Users confirm their age during registration by selecting their date of birth. We rely on this self-declaration as verification of age eligibility.</w:t>
      </w:r>
    </w:p>
    <w:p>
      <w:pPr>
        <w:spacing w:after="160"/>
      </w:pPr>
      <w:r>
        <w:rPr>
          <w:rFonts w:ascii="Arial" w:cs="Arial" w:eastAsia="Arial" w:hAnsi="Arial"/>
          <w:sz w:val="22"/>
          <w:szCs w:val="22"/>
        </w:rPr>
        <w:t xml:space="preserve">Where a user indicates they are under 18, we may request a parent or guardian to confirm the registration via a follow-up email to the email address provided during sign-up.</w:t>
      </w:r>
    </w:p>
    <w:p>
      <w:pPr>
        <w:spacing w:after="160"/>
      </w:pPr>
      <w:r>
        <w:rPr>
          <w:rFonts w:ascii="Arial" w:cs="Arial" w:eastAsia="Arial" w:hAnsi="Arial"/>
          <w:sz w:val="22"/>
          <w:szCs w:val="22"/>
        </w:rPr>
        <w:t xml:space="preserve">All features of the platform, including personalised content, targeted advertising, and the A1A2A3 Rewards loyalty programme, are available to all registered users irrespective of age.</w:t>
      </w:r>
    </w:p>
    <w:p>
      <w:pPr>
        <w:spacing w:after="100"/>
      </w:pPr>
      <w:r>
        <w:t xml:space="preserve"/>
      </w:r>
    </w:p>
    <w:p>
      <w:pPr>
        <w:pStyle w:val="Heading1"/>
        <w:spacing w:after="180" w:before="360"/>
      </w:pPr>
      <w:r>
        <w:rPr>
          <w:rFonts w:ascii="Arial" w:cs="Arial" w:eastAsia="Arial" w:hAnsi="Arial"/>
          <w:b/>
          <w:bCs/>
          <w:color w:val="1F3864"/>
          <w:sz w:val="32"/>
          <w:szCs w:val="32"/>
        </w:rPr>
        <w:t xml:space="preserve">6. Data Retention</w:t>
      </w:r>
    </w:p>
    <w:p>
      <w:pPr>
        <w:spacing w:after="160"/>
      </w:pPr>
      <w:r>
        <w:rPr>
          <w:rFonts w:ascii="Arial" w:cs="Arial" w:eastAsia="Arial" w:hAnsi="Arial"/>
          <w:sz w:val="22"/>
          <w:szCs w:val="22"/>
        </w:rPr>
        <w:t xml:space="preserve">We retain personal data for as long as necessary to fulfil the purposes for which it was collected, or as required by applicable laws and regulations. Retention periods may vary depending on the type of data and applicable legal requirements.</w:t>
      </w:r>
    </w:p>
    <w:p>
      <w:pPr>
        <w:spacing w:after="160"/>
      </w:pPr>
      <w:r>
        <w:rPr>
          <w:rFonts w:ascii="Arial" w:cs="Arial" w:eastAsia="Arial" w:hAnsi="Arial"/>
          <w:sz w:val="22"/>
          <w:szCs w:val="22"/>
        </w:rPr>
        <w:t xml:space="preserve">Financial and transaction records are retained for a period of time sufficient to meet our statutory obligations. Biometric templates are stored until the user deletes their account.</w:t>
      </w:r>
    </w:p>
    <w:p>
      <w:pPr>
        <w:spacing w:after="160"/>
      </w:pPr>
      <w:r>
        <w:rPr>
          <w:rFonts w:ascii="Arial" w:cs="Arial" w:eastAsia="Arial" w:hAnsi="Arial"/>
          <w:sz w:val="22"/>
          <w:szCs w:val="22"/>
        </w:rPr>
        <w:t xml:space="preserve">Upon termination or deactivation of a user account, personal data may be retained in backup systems for an indefinite period for disaster recovery purposes.</w:t>
      </w:r>
    </w:p>
    <w:p>
      <w:pPr>
        <w:spacing w:after="100"/>
      </w:pPr>
      <w:r>
        <w:t xml:space="preserve"/>
      </w:r>
    </w:p>
    <w:p>
      <w:pPr>
        <w:pStyle w:val="Heading1"/>
        <w:spacing w:after="180" w:before="360"/>
      </w:pPr>
      <w:r>
        <w:rPr>
          <w:rFonts w:ascii="Arial" w:cs="Arial" w:eastAsia="Arial" w:hAnsi="Arial"/>
          <w:b/>
          <w:bCs/>
          <w:color w:val="1F3864"/>
          <w:sz w:val="32"/>
          <w:szCs w:val="32"/>
        </w:rPr>
        <w:t xml:space="preserve">7. Sharing of Personal Data</w:t>
      </w:r>
    </w:p>
    <w:p>
      <w:pPr>
        <w:pStyle w:val="Heading2"/>
        <w:spacing w:after="120" w:before="240"/>
      </w:pPr>
      <w:r>
        <w:rPr>
          <w:rFonts w:ascii="Arial" w:cs="Arial" w:eastAsia="Arial" w:hAnsi="Arial"/>
          <w:b/>
          <w:bCs/>
          <w:color w:val="2E75B6"/>
          <w:sz w:val="26"/>
          <w:szCs w:val="26"/>
        </w:rPr>
        <w:t xml:space="preserve">7.1 Third-Party Service Providers</w:t>
      </w:r>
    </w:p>
    <w:p>
      <w:pPr>
        <w:spacing w:after="160"/>
      </w:pPr>
      <w:r>
        <w:rPr>
          <w:rFonts w:ascii="Arial" w:cs="Arial" w:eastAsia="Arial" w:hAnsi="Arial"/>
          <w:sz w:val="22"/>
          <w:szCs w:val="22"/>
        </w:rPr>
        <w:t xml:space="preserve">We share personal data with trusted third-party service providers who assist us in operating our platform, conducting our business, and providing services to you. These providers are required to maintain the confidentiality of your information.</w:t>
      </w:r>
    </w:p>
    <w:p>
      <w:pPr>
        <w:spacing w:after="160"/>
      </w:pPr>
      <w:r>
        <w:rPr>
          <w:rFonts w:ascii="Arial" w:cs="Arial" w:eastAsia="Arial" w:hAnsi="Arial"/>
          <w:sz w:val="22"/>
          <w:szCs w:val="22"/>
        </w:rPr>
        <w:t xml:space="preserve">Our vendors and processors include cloud hosting providers, payment gateways, analytics platforms, advertising networks, and customer support tools. A full list of processors is available upon written request to our legal team.</w:t>
      </w:r>
    </w:p>
    <w:p>
      <w:pPr>
        <w:spacing w:after="100"/>
      </w:pPr>
      <w:r>
        <w:t xml:space="preserve"/>
      </w:r>
    </w:p>
    <w:p>
      <w:pPr>
        <w:pStyle w:val="Heading2"/>
        <w:spacing w:after="120" w:before="240"/>
      </w:pPr>
      <w:r>
        <w:rPr>
          <w:rFonts w:ascii="Arial" w:cs="Arial" w:eastAsia="Arial" w:hAnsi="Arial"/>
          <w:b/>
          <w:bCs/>
          <w:color w:val="2E75B6"/>
          <w:sz w:val="26"/>
          <w:szCs w:val="26"/>
        </w:rPr>
        <w:t xml:space="preserve">7.2 Cross-Border Transfers</w:t>
      </w:r>
    </w:p>
    <w:p>
      <w:pPr>
        <w:spacing w:after="160"/>
      </w:pPr>
      <w:r>
        <w:rPr>
          <w:rFonts w:ascii="Arial" w:cs="Arial" w:eastAsia="Arial" w:hAnsi="Arial"/>
          <w:sz w:val="22"/>
          <w:szCs w:val="22"/>
        </w:rPr>
        <w:t xml:space="preserve">Your personal data may be transferred to and processed in any country in which A1A2A3 or its affiliates, subsidiaries, or service providers maintain operations, including but not limited to the United States, Singapore, United Arab Emirates, and member states of the European Union.</w:t>
      </w:r>
    </w:p>
    <w:p>
      <w:pPr>
        <w:spacing w:after="160"/>
      </w:pPr>
      <w:r>
        <w:rPr>
          <w:rFonts w:ascii="Arial" w:cs="Arial" w:eastAsia="Arial" w:hAnsi="Arial"/>
          <w:sz w:val="22"/>
          <w:szCs w:val="22"/>
        </w:rPr>
        <w:t xml:space="preserve">For transfers of personal data from the European Economic Area, we rely on Standard Contractual Clauses (SCCs) approved by the European Commission under Decision 2010/87/EU as the appropriate safeguard. Copies of the applicable SCCs are available upon written request.</w:t>
      </w:r>
    </w:p>
    <w:p>
      <w:pPr>
        <w:spacing w:after="160"/>
      </w:pPr>
      <w:r>
        <w:rPr>
          <w:rFonts w:ascii="Arial" w:cs="Arial" w:eastAsia="Arial" w:hAnsi="Arial"/>
          <w:sz w:val="22"/>
          <w:szCs w:val="22"/>
        </w:rPr>
        <w:t xml:space="preserve">Data transfers from India to other jurisdictions are made in the ordinary course of business operations and in accordance with A1A2A3's internal data governance framework.</w:t>
      </w:r>
    </w:p>
    <w:p>
      <w:pPr>
        <w:spacing w:after="100"/>
      </w:pPr>
      <w:r>
        <w:t xml:space="preserve"/>
      </w:r>
    </w:p>
    <w:p>
      <w:pPr>
        <w:pStyle w:val="Heading1"/>
        <w:spacing w:after="180" w:before="360"/>
      </w:pPr>
      <w:r>
        <w:rPr>
          <w:rFonts w:ascii="Arial" w:cs="Arial" w:eastAsia="Arial" w:hAnsi="Arial"/>
          <w:b/>
          <w:bCs/>
          <w:color w:val="1F3864"/>
          <w:sz w:val="32"/>
          <w:szCs w:val="32"/>
        </w:rPr>
        <w:t xml:space="preserve">8. Your Rights</w:t>
      </w:r>
    </w:p>
    <w:p>
      <w:pPr>
        <w:spacing w:after="160"/>
      </w:pPr>
      <w:r>
        <w:rPr>
          <w:rFonts w:ascii="Arial" w:cs="Arial" w:eastAsia="Arial" w:hAnsi="Arial"/>
          <w:sz w:val="22"/>
          <w:szCs w:val="22"/>
        </w:rPr>
        <w:t xml:space="preserve">Subject to applicable law, you may have the following rights with respect to your personal data:</w:t>
      </w:r>
    </w:p>
    <w:p>
      <w:pPr>
        <w:pStyle w:val="ListParagraph"/>
        <w:numPr>
          <w:ilvl w:val="0"/>
          <w:numId w:val="2"/>
        </w:numPr>
        <w:spacing w:after="100"/>
      </w:pPr>
      <w:r>
        <w:rPr>
          <w:rFonts w:ascii="Arial" w:cs="Arial" w:eastAsia="Arial" w:hAnsi="Arial"/>
          <w:sz w:val="22"/>
          <w:szCs w:val="22"/>
        </w:rPr>
        <w:t xml:space="preserve">Right to access a summary of your personal data processed by us</w:t>
      </w:r>
    </w:p>
    <w:p>
      <w:pPr>
        <w:pStyle w:val="ListParagraph"/>
        <w:numPr>
          <w:ilvl w:val="0"/>
          <w:numId w:val="2"/>
        </w:numPr>
        <w:spacing w:after="100"/>
      </w:pPr>
      <w:r>
        <w:rPr>
          <w:rFonts w:ascii="Arial" w:cs="Arial" w:eastAsia="Arial" w:hAnsi="Arial"/>
          <w:sz w:val="22"/>
          <w:szCs w:val="22"/>
        </w:rPr>
        <w:t xml:space="preserve">Right to correction of inaccurate data</w:t>
      </w:r>
    </w:p>
    <w:p>
      <w:pPr>
        <w:pStyle w:val="ListParagraph"/>
        <w:numPr>
          <w:ilvl w:val="0"/>
          <w:numId w:val="2"/>
        </w:numPr>
        <w:spacing w:after="100"/>
      </w:pPr>
      <w:r>
        <w:rPr>
          <w:rFonts w:ascii="Arial" w:cs="Arial" w:eastAsia="Arial" w:hAnsi="Arial"/>
          <w:sz w:val="22"/>
          <w:szCs w:val="22"/>
        </w:rPr>
        <w:t xml:space="preserve">Right to erasure / deletion (subject to our legal obligations)</w:t>
      </w:r>
    </w:p>
    <w:p>
      <w:pPr>
        <w:pStyle w:val="ListParagraph"/>
        <w:numPr>
          <w:ilvl w:val="0"/>
          <w:numId w:val="2"/>
        </w:numPr>
        <w:spacing w:after="100"/>
      </w:pPr>
      <w:r>
        <w:rPr>
          <w:rFonts w:ascii="Arial" w:cs="Arial" w:eastAsia="Arial" w:hAnsi="Arial"/>
          <w:sz w:val="22"/>
          <w:szCs w:val="22"/>
        </w:rPr>
        <w:t xml:space="preserve">Right to data portability (GDPR users only)</w:t>
      </w:r>
    </w:p>
    <w:p>
      <w:pPr>
        <w:pStyle w:val="ListParagraph"/>
        <w:numPr>
          <w:ilvl w:val="0"/>
          <w:numId w:val="2"/>
        </w:numPr>
        <w:spacing w:after="100"/>
      </w:pPr>
      <w:r>
        <w:rPr>
          <w:rFonts w:ascii="Arial" w:cs="Arial" w:eastAsia="Arial" w:hAnsi="Arial"/>
          <w:sz w:val="22"/>
          <w:szCs w:val="22"/>
        </w:rPr>
        <w:t xml:space="preserve">Right to object to processing based on legitimate interests</w:t>
      </w:r>
    </w:p>
    <w:p>
      <w:pPr>
        <w:pStyle w:val="ListParagraph"/>
        <w:numPr>
          <w:ilvl w:val="0"/>
          <w:numId w:val="2"/>
        </w:numPr>
        <w:spacing w:after="100"/>
      </w:pPr>
      <w:r>
        <w:rPr>
          <w:rFonts w:ascii="Arial" w:cs="Arial" w:eastAsia="Arial" w:hAnsi="Arial"/>
          <w:sz w:val="22"/>
          <w:szCs w:val="22"/>
        </w:rPr>
        <w:t xml:space="preserve">Right to withdraw consent</w:t>
      </w:r>
    </w:p>
    <w:p>
      <w:pPr>
        <w:spacing w:after="160"/>
      </w:pPr>
      <w:r>
        <w:rPr>
          <w:rFonts w:ascii="Arial" w:cs="Arial" w:eastAsia="Arial" w:hAnsi="Arial"/>
          <w:sz w:val="22"/>
          <w:szCs w:val="22"/>
        </w:rPr>
        <w:t xml:space="preserve">To exercise any of the above rights, please send a written request to our registered office by registered post. We will endeavour to respond within 60 days of receipt of a valid, complete request. A1A2A3 reserves the right to reject requests that are repetitive, technically unfeasible, or require disproportionate effort.</w:t>
      </w:r>
    </w:p>
    <w:p>
      <w:pPr>
        <w:spacing w:after="160"/>
      </w:pPr>
      <w:r>
        <w:rPr>
          <w:rFonts w:ascii="Arial" w:cs="Arial" w:eastAsia="Arial" w:hAnsi="Arial"/>
          <w:sz w:val="22"/>
          <w:szCs w:val="22"/>
        </w:rPr>
        <w:t xml:space="preserve">A1A2A3 may charge an administrative fee of INR 500 / EUR 25 per request where requests are deemed excessive.</w:t>
      </w:r>
    </w:p>
    <w:p>
      <w:pPr>
        <w:spacing w:after="100"/>
      </w:pPr>
      <w:r>
        <w:t xml:space="preserve"/>
      </w:r>
    </w:p>
    <w:p>
      <w:pPr>
        <w:pStyle w:val="Heading1"/>
        <w:spacing w:after="180" w:before="360"/>
      </w:pPr>
      <w:r>
        <w:rPr>
          <w:rFonts w:ascii="Arial" w:cs="Arial" w:eastAsia="Arial" w:hAnsi="Arial"/>
          <w:b/>
          <w:bCs/>
          <w:color w:val="1F3864"/>
          <w:sz w:val="32"/>
          <w:szCs w:val="32"/>
        </w:rPr>
        <w:t xml:space="preserve">9. Data Security</w:t>
      </w:r>
    </w:p>
    <w:p>
      <w:pPr>
        <w:spacing w:after="160"/>
      </w:pPr>
      <w:r>
        <w:rPr>
          <w:rFonts w:ascii="Arial" w:cs="Arial" w:eastAsia="Arial" w:hAnsi="Arial"/>
          <w:sz w:val="22"/>
          <w:szCs w:val="22"/>
        </w:rPr>
        <w:t xml:space="preserve">A1A2A3 implements industry-standard security measures to protect personal data from unauthorised access, disclosure, alteration, or destruction. Our security programme includes access controls, firewalls, and periodic security reviews.</w:t>
      </w:r>
    </w:p>
    <w:p>
      <w:pPr>
        <w:spacing w:after="160"/>
      </w:pPr>
      <w:r>
        <w:rPr>
          <w:rFonts w:ascii="Arial" w:cs="Arial" w:eastAsia="Arial" w:hAnsi="Arial"/>
          <w:sz w:val="22"/>
          <w:szCs w:val="22"/>
        </w:rPr>
        <w:t xml:space="preserve">Notwithstanding the foregoing, no method of electronic transmission or storage is 100% secure. A1A2A3 cannot guarantee absolute security of your personal data.</w:t>
      </w:r>
    </w:p>
    <w:p>
      <w:pPr>
        <w:spacing w:after="100"/>
      </w:pPr>
      <w:r>
        <w:t xml:space="preserve"/>
      </w:r>
    </w:p>
    <w:p>
      <w:pPr>
        <w:pStyle w:val="Heading1"/>
        <w:spacing w:after="180" w:before="360"/>
      </w:pPr>
      <w:r>
        <w:rPr>
          <w:rFonts w:ascii="Arial" w:cs="Arial" w:eastAsia="Arial" w:hAnsi="Arial"/>
          <w:b/>
          <w:bCs/>
          <w:color w:val="1F3864"/>
          <w:sz w:val="32"/>
          <w:szCs w:val="32"/>
        </w:rPr>
        <w:t xml:space="preserve">10. Data Breach Notification</w:t>
      </w:r>
    </w:p>
    <w:p>
      <w:pPr>
        <w:spacing w:after="160"/>
      </w:pPr>
      <w:r>
        <w:rPr>
          <w:rFonts w:ascii="Arial" w:cs="Arial" w:eastAsia="Arial" w:hAnsi="Arial"/>
          <w:sz w:val="22"/>
          <w:szCs w:val="22"/>
        </w:rPr>
        <w:t xml:space="preserve">In the event of a personal data breach that poses a significant risk of harm to affected individuals, A1A2A3 may notify the relevant supervisory authority within a reasonable timeframe, generally not exceeding 30 days from the date on which A1A2A3 becomes aware of the breach.</w:t>
      </w:r>
    </w:p>
    <w:p>
      <w:pPr>
        <w:spacing w:after="160"/>
      </w:pPr>
      <w:r>
        <w:rPr>
          <w:rFonts w:ascii="Arial" w:cs="Arial" w:eastAsia="Arial" w:hAnsi="Arial"/>
          <w:sz w:val="22"/>
          <w:szCs w:val="22"/>
        </w:rPr>
        <w:t xml:space="preserve">A1A2A3 will assess each breach on a case-by-case basis to determine whether notification to affected data subjects is warranted. Such notification, if made, will be provided through our standard customer communication channels.</w:t>
      </w:r>
    </w:p>
    <w:p>
      <w:pPr>
        <w:spacing w:after="100"/>
      </w:pPr>
      <w:r>
        <w:t xml:space="preserve"/>
      </w:r>
    </w:p>
    <w:p>
      <w:pPr>
        <w:pStyle w:val="Heading1"/>
        <w:spacing w:after="180" w:before="360"/>
      </w:pPr>
      <w:r>
        <w:rPr>
          <w:rFonts w:ascii="Arial" w:cs="Arial" w:eastAsia="Arial" w:hAnsi="Arial"/>
          <w:b/>
          <w:bCs/>
          <w:color w:val="1F3864"/>
          <w:sz w:val="32"/>
          <w:szCs w:val="32"/>
        </w:rPr>
        <w:t xml:space="preserve">11. Grievance Officer / Data Protection Officer</w:t>
      </w:r>
    </w:p>
    <w:p>
      <w:pPr>
        <w:spacing w:after="160"/>
      </w:pPr>
      <w:r>
        <w:rPr>
          <w:rFonts w:ascii="Arial" w:cs="Arial" w:eastAsia="Arial" w:hAnsi="Arial"/>
          <w:sz w:val="22"/>
          <w:szCs w:val="22"/>
        </w:rPr>
        <w:t xml:space="preserve">A1A2A3 has appointed a Grievance Officer as required under the DPDPA and a Data Protection Officer as required under GDPR. Contact details for these officers will be made available on our website at www.a1a2a3.com/privacy in due course.</w:t>
      </w:r>
    </w:p>
    <w:p>
      <w:pPr>
        <w:spacing w:after="160"/>
      </w:pPr>
      <w:r>
        <w:rPr>
          <w:rFonts w:ascii="Arial" w:cs="Arial" w:eastAsia="Arial" w:hAnsi="Arial"/>
          <w:sz w:val="22"/>
          <w:szCs w:val="22"/>
        </w:rPr>
        <w:t xml:space="preserve">Complaints or grievances regarding data processing may be submitted to the above officer. A1A2A3 will make reasonable efforts to address complaints within a reasonable period of time.</w:t>
      </w:r>
    </w:p>
    <w:p>
      <w:pPr>
        <w:spacing w:after="100"/>
      </w:pPr>
      <w:r>
        <w:t xml:space="preserve"/>
      </w:r>
    </w:p>
    <w:p>
      <w:pPr>
        <w:pStyle w:val="Heading1"/>
        <w:spacing w:after="180" w:before="360"/>
      </w:pPr>
      <w:r>
        <w:rPr>
          <w:rFonts w:ascii="Arial" w:cs="Arial" w:eastAsia="Arial" w:hAnsi="Arial"/>
          <w:b/>
          <w:bCs/>
          <w:color w:val="1F3864"/>
          <w:sz w:val="32"/>
          <w:szCs w:val="32"/>
        </w:rPr>
        <w:t xml:space="preserve">12. Automated Decision-Making and Profiling</w:t>
      </w:r>
    </w:p>
    <w:p>
      <w:pPr>
        <w:spacing w:after="160"/>
      </w:pPr>
      <w:r>
        <w:rPr>
          <w:rFonts w:ascii="Arial" w:cs="Arial" w:eastAsia="Arial" w:hAnsi="Arial"/>
          <w:sz w:val="22"/>
          <w:szCs w:val="22"/>
        </w:rPr>
        <w:t xml:space="preserve">A1A2A3 uses automated algorithms and machine learning models to analyse user behaviour, assess creditworthiness for our A1A2A3 Pay Later feature, determine insurance premium eligibility, and generate personalised content recommendations.</w:t>
      </w:r>
    </w:p>
    <w:p>
      <w:pPr>
        <w:spacing w:after="160"/>
      </w:pPr>
      <w:r>
        <w:rPr>
          <w:rFonts w:ascii="Arial" w:cs="Arial" w:eastAsia="Arial" w:hAnsi="Arial"/>
          <w:sz w:val="22"/>
          <w:szCs w:val="22"/>
        </w:rPr>
        <w:t xml:space="preserve">These automated processes may result in decisions that have legal or similarly significant effects on users. A1A2A3 continuously works to ensure the accuracy and fairness of its automated systems.</w:t>
      </w:r>
    </w:p>
    <w:p>
      <w:pPr>
        <w:spacing w:after="100"/>
      </w:pPr>
      <w:r>
        <w:t xml:space="preserve"/>
      </w:r>
    </w:p>
    <w:p>
      <w:pPr>
        <w:pStyle w:val="Heading1"/>
        <w:spacing w:after="180" w:before="360"/>
      </w:pPr>
      <w:r>
        <w:rPr>
          <w:rFonts w:ascii="Arial" w:cs="Arial" w:eastAsia="Arial" w:hAnsi="Arial"/>
          <w:b/>
          <w:bCs/>
          <w:color w:val="1F3864"/>
          <w:sz w:val="32"/>
          <w:szCs w:val="32"/>
        </w:rPr>
        <w:t xml:space="preserve">13. Cookies and Tracking Technologies</w:t>
      </w:r>
    </w:p>
    <w:p>
      <w:pPr>
        <w:spacing w:after="160"/>
      </w:pPr>
      <w:r>
        <w:rPr>
          <w:rFonts w:ascii="Arial" w:cs="Arial" w:eastAsia="Arial" w:hAnsi="Arial"/>
          <w:sz w:val="22"/>
          <w:szCs w:val="22"/>
        </w:rPr>
        <w:t xml:space="preserve">By using the A1A2A3 platform, you consent to the use of cookies and similar tracking technologies. We use essential, functional, analytical, and advertising cookies. Advertising cookies may be shared with our advertising partners including Google, Meta, and other third-party ad networks.</w:t>
      </w:r>
    </w:p>
    <w:p>
      <w:pPr>
        <w:spacing w:after="160"/>
      </w:pPr>
      <w:r>
        <w:rPr>
          <w:rFonts w:ascii="Arial" w:cs="Arial" w:eastAsia="Arial" w:hAnsi="Arial"/>
          <w:sz w:val="22"/>
          <w:szCs w:val="22"/>
        </w:rPr>
        <w:t xml:space="preserve">You may disable cookies through your browser settings; however, doing so may affect the functionality of certain features of the platform.</w:t>
      </w:r>
    </w:p>
    <w:p>
      <w:pPr>
        <w:spacing w:after="100"/>
      </w:pPr>
      <w:r>
        <w:t xml:space="preserve"/>
      </w:r>
    </w:p>
    <w:p>
      <w:pPr>
        <w:pStyle w:val="Heading1"/>
        <w:spacing w:after="180" w:before="360"/>
      </w:pPr>
      <w:r>
        <w:rPr>
          <w:rFonts w:ascii="Arial" w:cs="Arial" w:eastAsia="Arial" w:hAnsi="Arial"/>
          <w:b/>
          <w:bCs/>
          <w:color w:val="1F3864"/>
          <w:sz w:val="32"/>
          <w:szCs w:val="32"/>
        </w:rPr>
        <w:t xml:space="preserve">14. Changes to This Policy</w:t>
      </w:r>
    </w:p>
    <w:p>
      <w:pPr>
        <w:spacing w:after="160"/>
      </w:pPr>
      <w:r>
        <w:rPr>
          <w:rFonts w:ascii="Arial" w:cs="Arial" w:eastAsia="Arial" w:hAnsi="Arial"/>
          <w:sz w:val="22"/>
          <w:szCs w:val="22"/>
        </w:rPr>
        <w:t xml:space="preserve">A1A2A3 reserves the right to update this Policy at any time without prior notice. Continued use of the platform following any update constitutes your acceptance of the revised Policy. The latest version of this Policy will always be available at www.a1a2a3.com/privacy.</w:t>
      </w:r>
    </w:p>
    <w:p>
      <w:pPr>
        <w:spacing w:after="100"/>
      </w:pPr>
      <w:r>
        <w:t xml:space="preserve"/>
      </w:r>
    </w:p>
    <w:p>
      <w:pPr>
        <w:pStyle w:val="Heading1"/>
        <w:spacing w:after="180" w:before="360"/>
      </w:pPr>
      <w:r>
        <w:rPr>
          <w:rFonts w:ascii="Arial" w:cs="Arial" w:eastAsia="Arial" w:hAnsi="Arial"/>
          <w:b/>
          <w:bCs/>
          <w:color w:val="1F3864"/>
          <w:sz w:val="32"/>
          <w:szCs w:val="32"/>
        </w:rPr>
        <w:t xml:space="preserve">15. Governing Law</w:t>
      </w:r>
    </w:p>
    <w:p>
      <w:pPr>
        <w:spacing w:after="160"/>
      </w:pPr>
      <w:r>
        <w:rPr>
          <w:rFonts w:ascii="Arial" w:cs="Arial" w:eastAsia="Arial" w:hAnsi="Arial"/>
          <w:sz w:val="22"/>
          <w:szCs w:val="22"/>
        </w:rPr>
        <w:t xml:space="preserve">This Policy is governed by the laws of India. Any disputes arising out of or in connection with this Policy shall be subject to the exclusive jurisdiction of the courts at Bengaluru, Karnataka.</w:t>
      </w:r>
    </w:p>
    <w:p>
      <w:pPr>
        <w:spacing w:after="160"/>
      </w:pPr>
      <w:r>
        <w:rPr>
          <w:rFonts w:ascii="Arial" w:cs="Arial" w:eastAsia="Arial" w:hAnsi="Arial"/>
          <w:sz w:val="22"/>
          <w:szCs w:val="22"/>
        </w:rPr>
        <w:t xml:space="preserve">Nothing in this clause restricts the right of data subjects in the European Union to lodge complaints with their local supervisory authority.</w:t>
      </w:r>
    </w:p>
    <w:p>
      <w:pPr>
        <w:spacing w:after="100"/>
      </w:pPr>
      <w:r>
        <w:t xml:space="preserve"/>
      </w:r>
    </w:p>
    <w:p>
      <w:pPr>
        <w:pStyle w:val="Heading1"/>
        <w:spacing w:after="180" w:before="360"/>
      </w:pPr>
      <w:r>
        <w:rPr>
          <w:rFonts w:ascii="Arial" w:cs="Arial" w:eastAsia="Arial" w:hAnsi="Arial"/>
          <w:b/>
          <w:bCs/>
          <w:color w:val="1F3864"/>
          <w:sz w:val="32"/>
          <w:szCs w:val="32"/>
        </w:rPr>
        <w:t xml:space="preserve">Schedule A — Data Processor Sub-List</w:t>
      </w:r>
    </w:p>
    <w:p>
      <w:pPr>
        <w:spacing w:after="160"/>
      </w:pPr>
      <w:r>
        <w:rPr>
          <w:rFonts w:ascii="Arial" w:cs="Arial" w:eastAsia="Arial" w:hAnsi="Arial"/>
          <w:i/>
          <w:iCs/>
          <w:color w:val="555555"/>
          <w:sz w:val="22"/>
          <w:szCs w:val="22"/>
        </w:rPr>
        <w:t xml:space="preserve">Note: This schedule is indicative only and may be updated by A1A2A3 at any time without notice to data subjects.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500"/>
        <w:gridCol w:w="2000"/>
        <w:gridCol w:w="2360"/>
      </w:tblGrid>
      <w:tr>
        <w:tc>
          <w:tcPr>
            <w:tcW w:type="dxa" w:w="2500"/>
            <w:tcBorders>
              <w:top w:val="single" w:color="1F3864" w:sz="1"/>
              <w:left w:val="single" w:color="1F3864" w:sz="1"/>
              <w:bottom w:val="single" w:color="1F3864" w:sz="1"/>
              <w:right w:val="single" w:color="1F3864" w:sz="1"/>
            </w:tcBorders>
            <w:shd w:fill="2E75B6" w:val="clear"/>
            <w:tcMar>
              <w:top w:type="dxa" w:w="80"/>
              <w:left w:type="dxa" w:w="120"/>
              <w:bottom w:type="dxa" w:w="80"/>
              <w:right w:type="dxa" w:w="120"/>
            </w:tcMar>
          </w:tcPr>
          <w:p>
            <w:r>
              <w:rPr>
                <w:rFonts w:ascii="Arial" w:cs="Arial" w:eastAsia="Arial" w:hAnsi="Arial"/>
                <w:b/>
                <w:bCs/>
                <w:color w:val="FFFFFF"/>
                <w:sz w:val="18"/>
                <w:szCs w:val="18"/>
              </w:rPr>
              <w:t xml:space="preserve">Processor Name</w:t>
            </w:r>
          </w:p>
        </w:tc>
        <w:tc>
          <w:tcPr>
            <w:tcW w:type="dxa" w:w="2500"/>
            <w:tcBorders>
              <w:top w:val="single" w:color="1F3864" w:sz="1"/>
              <w:left w:val="single" w:color="1F3864" w:sz="1"/>
              <w:bottom w:val="single" w:color="1F3864" w:sz="1"/>
              <w:right w:val="single" w:color="1F3864" w:sz="1"/>
            </w:tcBorders>
            <w:shd w:fill="2E75B6" w:val="clear"/>
            <w:tcMar>
              <w:top w:type="dxa" w:w="80"/>
              <w:left w:type="dxa" w:w="120"/>
              <w:bottom w:type="dxa" w:w="80"/>
              <w:right w:type="dxa" w:w="120"/>
            </w:tcMar>
          </w:tcPr>
          <w:p>
            <w:r>
              <w:rPr>
                <w:rFonts w:ascii="Arial" w:cs="Arial" w:eastAsia="Arial" w:hAnsi="Arial"/>
                <w:b/>
                <w:bCs/>
                <w:color w:val="FFFFFF"/>
                <w:sz w:val="18"/>
                <w:szCs w:val="18"/>
              </w:rPr>
              <w:t xml:space="preserve">Service</w:t>
            </w:r>
          </w:p>
        </w:tc>
        <w:tc>
          <w:tcPr>
            <w:tcW w:type="dxa" w:w="2000"/>
            <w:tcBorders>
              <w:top w:val="single" w:color="1F3864" w:sz="1"/>
              <w:left w:val="single" w:color="1F3864" w:sz="1"/>
              <w:bottom w:val="single" w:color="1F3864" w:sz="1"/>
              <w:right w:val="single" w:color="1F3864" w:sz="1"/>
            </w:tcBorders>
            <w:shd w:fill="2E75B6" w:val="clear"/>
            <w:tcMar>
              <w:top w:type="dxa" w:w="80"/>
              <w:left w:type="dxa" w:w="120"/>
              <w:bottom w:type="dxa" w:w="80"/>
              <w:right w:type="dxa" w:w="120"/>
            </w:tcMar>
          </w:tcPr>
          <w:p>
            <w:r>
              <w:rPr>
                <w:rFonts w:ascii="Arial" w:cs="Arial" w:eastAsia="Arial" w:hAnsi="Arial"/>
                <w:b/>
                <w:bCs/>
                <w:color w:val="FFFFFF"/>
                <w:sz w:val="18"/>
                <w:szCs w:val="18"/>
              </w:rPr>
              <w:t xml:space="preserve">Location</w:t>
            </w:r>
          </w:p>
        </w:tc>
        <w:tc>
          <w:tcPr>
            <w:tcW w:type="dxa" w:w="2360"/>
            <w:tcBorders>
              <w:top w:val="single" w:color="1F3864" w:sz="1"/>
              <w:left w:val="single" w:color="1F3864" w:sz="1"/>
              <w:bottom w:val="single" w:color="1F3864" w:sz="1"/>
              <w:right w:val="single" w:color="1F3864" w:sz="1"/>
            </w:tcBorders>
            <w:shd w:fill="2E75B6" w:val="clear"/>
            <w:tcMar>
              <w:top w:type="dxa" w:w="80"/>
              <w:left w:type="dxa" w:w="120"/>
              <w:bottom w:type="dxa" w:w="80"/>
              <w:right w:type="dxa" w:w="120"/>
            </w:tcMar>
          </w:tcPr>
          <w:p>
            <w:r>
              <w:rPr>
                <w:rFonts w:ascii="Arial" w:cs="Arial" w:eastAsia="Arial" w:hAnsi="Arial"/>
                <w:b/>
                <w:bCs/>
                <w:color w:val="FFFFFF"/>
                <w:sz w:val="18"/>
                <w:szCs w:val="18"/>
              </w:rPr>
              <w:t xml:space="preserve">Agreement Type</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AWS / Amazon</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Cloud hosting</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USA, Singapore</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General ToS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Google Analytics</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Analytics</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USA</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ToS (no DPA)</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Razorpay</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Payments</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India</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Standard agreement</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Meta Ads</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Advertising</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USA, Ireland</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Platform ToS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Freshdesk</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Customer support</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India, USA</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18"/>
                <w:szCs w:val="18"/>
              </w:rPr>
              <w:t xml:space="preserve">Standard agreement</w:t>
            </w:r>
          </w:p>
        </w:tc>
      </w:tr>
    </w:tbl>
    <w:p>
      <w:pPr>
        <w:spacing w:after="100"/>
      </w:pPr>
      <w:r>
        <w:t xml:space="preserve"/>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tcMar>
              <w:top w:type="dxa" w:w="200"/>
              <w:left w:type="dxa" w:w="200"/>
              <w:bottom w:type="dxa" w:w="200"/>
              <w:right w:type="dxa" w:w="200"/>
            </w:tcMar>
          </w:tcPr>
          <w:p>
            <w:r>
              <w:rPr>
                <w:rFonts w:ascii="Arial" w:cs="Arial" w:eastAsia="Arial" w:hAnsi="Arial"/>
                <w:b/>
                <w:bCs/>
                <w:sz w:val="20"/>
                <w:szCs w:val="20"/>
              </w:rPr>
              <w:t xml:space="preserve">Approved by:</w:t>
            </w:r>
          </w:p>
          <w:p>
            <w:pPr>
              <w:spacing w:after="100"/>
            </w:pPr>
            <w:r>
              <w:t xml:space="preserve"/>
            </w:r>
          </w:p>
          <w:p>
            <w:r>
              <w:rPr>
                <w:rFonts w:ascii="Arial" w:cs="Arial" w:eastAsia="Arial" w:hAnsi="Arial"/>
                <w:sz w:val="20"/>
                <w:szCs w:val="20"/>
              </w:rPr>
              <w:t xml:space="preserve">Arjun Mehra</w:t>
            </w:r>
          </w:p>
          <w:p>
            <w:r>
              <w:rPr>
                <w:rFonts w:ascii="Arial" w:cs="Arial" w:eastAsia="Arial" w:hAnsi="Arial"/>
                <w:sz w:val="20"/>
                <w:szCs w:val="20"/>
              </w:rPr>
              <w:t xml:space="preserve">Chief Executive Officer</w:t>
            </w:r>
          </w:p>
          <w:p>
            <w:r>
              <w:rPr>
                <w:rFonts w:ascii="Arial" w:cs="Arial" w:eastAsia="Arial" w:hAnsi="Arial"/>
                <w:sz w:val="20"/>
                <w:szCs w:val="20"/>
              </w:rPr>
              <w:t xml:space="preserve">A1A2A3 Technologies Pvt. Ltd.</w:t>
            </w:r>
          </w:p>
        </w:tc>
        <w:tc>
          <w:tcPr>
            <w:tcW w:type="dxa" w:w="4680"/>
            <w:tcBorders>
              <w:top w:val="single" w:color="CCCCCC" w:sz="1"/>
              <w:left w:val="single" w:color="CCCCCC" w:sz="1"/>
              <w:bottom w:val="single" w:color="CCCCCC" w:sz="1"/>
              <w:right w:val="single" w:color="CCCCCC" w:sz="1"/>
            </w:tcBorders>
            <w:tcMar>
              <w:top w:type="dxa" w:w="200"/>
              <w:left w:type="dxa" w:w="200"/>
              <w:bottom w:type="dxa" w:w="200"/>
              <w:right w:type="dxa" w:w="200"/>
            </w:tcMar>
          </w:tcPr>
          <w:p>
            <w:r>
              <w:rPr>
                <w:rFonts w:ascii="Arial" w:cs="Arial" w:eastAsia="Arial" w:hAnsi="Arial"/>
                <w:b/>
                <w:bCs/>
                <w:sz w:val="20"/>
                <w:szCs w:val="20"/>
              </w:rPr>
              <w:t xml:space="preserve">Reviewed by:</w:t>
            </w:r>
          </w:p>
          <w:p>
            <w:pPr>
              <w:spacing w:after="100"/>
            </w:pPr>
            <w:r>
              <w:t xml:space="preserve"/>
            </w:r>
          </w:p>
          <w:p>
            <w:r>
              <w:rPr>
                <w:rFonts w:ascii="Arial" w:cs="Arial" w:eastAsia="Arial" w:hAnsi="Arial"/>
                <w:sz w:val="20"/>
                <w:szCs w:val="20"/>
              </w:rPr>
              <w:t xml:space="preserve">Priya Nair</w:t>
            </w:r>
          </w:p>
          <w:p>
            <w:r>
              <w:rPr>
                <w:rFonts w:ascii="Arial" w:cs="Arial" w:eastAsia="Arial" w:hAnsi="Arial"/>
                <w:sz w:val="20"/>
                <w:szCs w:val="20"/>
              </w:rPr>
              <w:t xml:space="preserve">Head of Legal &amp; Compliance</w:t>
            </w:r>
          </w:p>
          <w:p>
            <w:r>
              <w:rPr>
                <w:rFonts w:ascii="Arial" w:cs="Arial" w:eastAsia="Arial" w:hAnsi="Arial"/>
                <w:sz w:val="20"/>
                <w:szCs w:val="20"/>
              </w:rPr>
              <w:t xml:space="preserve">A1A2A3 Technologies Pvt. Ltd.</w:t>
            </w:r>
          </w:p>
        </w:tc>
      </w:tr>
    </w:tbl>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888888"/>
        <w:sz w:val="18"/>
        <w:szCs w:val="18"/>
      </w:rPr>
      <w:t xml:space="preserve">A1A2A3 Technologies Pvt. Ltd. — Confidential   |   Page </w:t>
    </w:r>
    <w:r>
      <w:rPr>
        <w:rFonts w:ascii="Arial" w:cs="Arial" w:eastAsia="Arial" w:hAnsi="Arial"/>
        <w:color w:val="888888"/>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pPr>
      <w:spacing w:after="180" w:before="360"/>
      <w:outlineLvl w:val="0"/>
    </w:pPr>
    <w:rPr>
      <w:rFonts w:ascii="Arial" w:cs="Arial" w:eastAsia="Arial" w:hAnsi="Arial"/>
      <w:b/>
      <w:bCs/>
      <w:color w:val="1F3864"/>
      <w:sz w:val="32"/>
      <w:szCs w:val="32"/>
    </w:rPr>
  </w:style>
  <w:style w:type="paragraph" w:styleId="Heading2">
    <w:name w:val="Heading 2"/>
    <w:basedOn w:val="Normal"/>
    <w:next w:val="Normal"/>
    <w:pPr>
      <w:spacing w:after="120" w:before="240"/>
      <w:outlineLvl w:val="1"/>
    </w:pPr>
    <w:rPr>
      <w:rFonts w:ascii="Arial" w:cs="Arial" w:eastAsia="Arial" w:hAnsi="Arial"/>
      <w:b/>
      <w:bCs/>
      <w:color w:val="2E75B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2026-05-20T09:18:11.216Z</dcterms:created>
  <dcterms:modified xsi:type="dcterms:W3CDTF">2026-05-20T09:18:11.217Z</dcterms:modified>
</cp:coreProperties>
</file>

<file path=docProps/custom.xml><?xml version="1.0" encoding="utf-8"?>
<Properties xmlns="http://schemas.openxmlformats.org/officeDocument/2006/custom-properties" xmlns:vt="http://schemas.openxmlformats.org/officeDocument/2006/docPropsVTypes"/>
</file>