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440"/>
      </w:pPr>
    </w:p>
    <w:p>
      <w:pPr>
        <w:spacing w:after="160"/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TECH CONTRACT REVIEW</w:t>
      </w:r>
    </w:p>
    <w:p>
      <w:pPr>
        <w:spacing w:after="80"/>
        <w:jc w:val="center"/>
      </w:pPr>
      <w:r>
        <w:rPr>
          <w:rFonts w:ascii="Arial" w:cs="Arial" w:eastAsia="Arial" w:hAnsi="Arial"/>
          <w:color w:val="2E75B6"/>
          <w:sz w:val="30"/>
          <w:szCs w:val="30"/>
        </w:rPr>
        <w:t xml:space="preserve">Lawve AI Plugin — Built for Anthropic</w:t>
      </w:r>
    </w:p>
    <w:p>
      <w:pPr>
        <w:spacing w:after="400"/>
        <w:jc w:val="center"/>
      </w:pPr>
      <w:r>
        <w:rPr>
          <w:rFonts w:ascii="Arial" w:cs="Arial" w:eastAsia="Arial" w:hAnsi="Arial"/>
          <w:i/>
          <w:iCs/>
          <w:color w:val="595959"/>
          <w:sz w:val="24"/>
          <w:szCs w:val="24"/>
        </w:rPr>
        <w:t xml:space="preserve">Precision Contract Analysis for AI &amp; Technology Agreements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  <w:jc w:val="center"/>
      </w:pPr>
      <w:r>
        <w:rPr>
          <w:rFonts w:ascii="Arial" w:cs="Arial" w:eastAsia="Arial" w:hAnsi="Arial"/>
          <w:color w:val="595959"/>
          <w:sz w:val="20"/>
          <w:szCs w:val="20"/>
        </w:rPr>
        <w:t xml:space="preserve">Version 1.0    |    May 2026    |    Jurisdiction-Aware    |    GDPR + DPDP Act Ready</w:t>
      </w: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1. Overview &amp; Purpose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This skill enables Anthropic teams to conduct rigorous, jurisdiction-aware review of technology contracts and commercial agreements. It operates as a senior tech-transactional lawyer with a red pen — identifying suspicious clauses, redlining risk, and producing actionable output.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plugin is designed to leave zero open ambiguity. Every clause is classified as acceptable, negotiable, or a dealbreaker. Missing protections are flagged. Jurisdiction is always analyzed first.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Guiding Principles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Precision over generality — if a clause can be read two ways, flag it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Jurisdiction first — governing law shapes every interpretation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Active research — always verify current regulatory requirements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Redline everything risky — never leave a red flag without a replacement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Protect data at all costs — AI contracts carry unique training-data risk</w:t>
      </w:r>
    </w:p>
    <w:p>
      <w:pPr>
        <w:spacing w:after="12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2. Contract Types Covered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plugin covers the following technology and commercial agreement types: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3200"/>
        <w:gridCol w:w="4660"/>
      </w:tblGrid>
      <w:tr>
        <w:trPr>
          <w:tblHeader/>
        </w:trP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Type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Full Name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Primary Risk Focus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MSA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Master Services Agreement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Liability caps, IP ownership, termination rights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DPA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Processing Agreement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GDPR/DPDP compliance, sub-processors, breach notification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SOW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Statement of Work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Deliverable ambiguity, acceptance criteria, change-order traps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LOE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Letter of Engagement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Scope creep, fee ambiguity, professional liability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NDA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Non-Disclosure Agreement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Scope, carve-outs, term, residuals clause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SLA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Service Level Agreement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Uptime definitions, remedy credits, exclusions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EULA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End User License Agreement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License scope, IP reversion, audit rights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IP Assignment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IP / Work-for-Hire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Ownership transfer, moral rights, background IP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Vendor/Supplier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Procurement Agreement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Warranty disclaimers, liability exclusions, IP indemnity</w:t>
            </w:r>
          </w:p>
        </w:tc>
      </w:tr>
      <w:tr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API / Platform ToS</w:t>
            </w:r>
          </w:p>
        </w:tc>
        <w:tc>
          <w:tcPr>
            <w:tcW w:type="dxa" w:w="32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Terms of Service</w:t>
            </w:r>
          </w:p>
        </w:tc>
        <w:tc>
          <w:tcPr>
            <w:tcW w:type="dxa" w:w="46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retention, suspension rights, acceptable use</w:t>
            </w:r>
          </w:p>
        </w:tc>
      </w:tr>
    </w:tbl>
    <w:p>
      <w:pPr>
        <w:spacing w:after="12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3. Review Workflow</w:t>
      </w:r>
    </w:p>
    <w:p>
      <w:pPr>
        <w:pBdr>
          <w:bottom w:val="single" w:color="2E75B6" w:sz="6" w:space="1"/>
        </w:pBdr>
        <w:spacing w:after="120" w:before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Step 1 — Contract Intake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Before analysis begins, establish: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Document type — which contract category applies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Parties — identify each and their role (customer / vendor / processor / controller)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Effective date and contract term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Governing law and jurisdiction clause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Execution status — draft, signed, or in negotiation</w:t>
      </w:r>
    </w:p>
    <w:p>
      <w:pPr>
        <w:spacing w:after="16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Step 2 — Jurisdiction Analysis (Always First)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Governing law shapes every interpretation. Jurisdiction analysis is non-negotiable and precedes all clause review.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3000"/>
        <w:gridCol w:w="4560"/>
      </w:tblGrid>
      <w:tr>
        <w:trPr>
          <w:tblHeader/>
        </w:trP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Jurisdiction</w:t>
            </w:r>
          </w:p>
        </w:tc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Mandatory Laws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Watch-For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India</w:t>
            </w:r>
          </w:p>
        </w:tc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IT Act 2000, DPDP Act 2023, Contract Act 1872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Cross-border data transfer, arbitration, stamp duty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EU / EEA</w:t>
            </w:r>
          </w:p>
        </w:tc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GDPR, NIS2, ePrivacy Directive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Art. 28 DPA mandatory, SCCs, right to audit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 (Federal/State)</w:t>
            </w:r>
          </w:p>
        </w:tc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CCPA, COPPA, HIPAA, CLOUD Act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State choice-of-law enforceability, CLOUD Act access risk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UK</w:t>
            </w:r>
          </w:p>
        </w:tc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UK GDPR, Data Protection Act 2018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Post-Brexit adequacy, IDTA for transfers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Singapore</w:t>
            </w:r>
          </w:p>
        </w:tc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PDPA 2012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intermediary obligations, 3-day breach notification</w:t>
            </w:r>
          </w:p>
        </w:tc>
      </w:tr>
      <w:tr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Global / Multi-Jurisdiction</w:t>
            </w:r>
          </w:p>
        </w:tc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—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Privacy law follows data subject, not contract</w:t>
            </w:r>
          </w:p>
        </w:tc>
      </w:tr>
    </w:tbl>
    <w:p>
      <w:pPr>
        <w:spacing w:after="120"/>
      </w:pPr>
    </w:p>
    <w:p>
      <w:pPr>
        <w:spacing w:after="12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⚠️  RULE: If governing law ≠ jurisdiction where data subjects reside, mandatory privacy law of the data subject's jurisdiction applies regardless of contract choice.</w:t>
      </w:r>
    </w:p>
    <w:p>
      <w:pPr>
        <w:spacing w:after="16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Step 3 — Clause-by-Clause Analysis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Every clause is classified using this risk schema: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75623"/>
          <w:sz w:val="22"/>
          <w:szCs w:val="22"/>
        </w:rPr>
        <w:t xml:space="preserve">🟢 Standard / Acceptable — market-norm, no action needed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C55A11"/>
          <w:sz w:val="22"/>
          <w:szCs w:val="22"/>
        </w:rPr>
        <w:t xml:space="preserve">🟡 Review / Negotiate — non-standard; suggest edits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Red Flag / Reject — high risk; must be redlined or contract rejected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⚫  Missing / Absent — critical protection not present; must be added</w:t>
      </w:r>
    </w:p>
    <w:p>
      <w:pPr>
        <w:spacing w:after="160"/>
      </w:pPr>
    </w:p>
    <w:p>
      <w:pPr>
        <w:pStyle w:val="Heading3"/>
        <w:spacing w:after="60" w:before="180"/>
      </w:pPr>
      <w:r>
        <w:rPr>
          <w:rFonts w:ascii="Arial" w:cs="Arial" w:eastAsia="Arial" w:hAnsi="Arial"/>
          <w:b/>
          <w:bCs/>
          <w:color w:val="595959"/>
          <w:sz w:val="24"/>
          <w:szCs w:val="24"/>
        </w:rPr>
        <w:t xml:space="preserve">Clause Category Checklist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A. Definitions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"Confidential Information" — over or under-broad?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"Intellectual Property" — includes pre-existing or background IP?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"Services" / "Deliverables" — vague definitions = scope creep risk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"Affiliates" — could bind third parties without consent?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B. Intellectual Property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Work-for-hire vs. license — who owns deliverables? Must be explicit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Background IP retained by vendor — grant-back clause present?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AI-generated content ownership — vendor cannot claim ownership of outputs from customer prompts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Open source components — license compatibility (GPL contamination risk)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IP indemnity — vendor indemnifies for third-party IP infringement?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C. Data Protection (Critical for Anthropic / AI Contracts)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Data controller vs. processor designation — must match operational reality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Sub-processor obligations — approval mechanism required (GDPR Art. 28(2))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Data breach notification timeline — GDPR 72h; DPDP India prompt notice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Data deletion / return on termination — timeline specified?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Cross-border transfer mechanism — SCCs / adequacy / IDTA / BCRs?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Training data usage — does vendor use customer data to train AI models?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Audit rights — customer right to audit processor compliance?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D. Liability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Liability cap — amount and basis (12 months fees paid is standard)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Consequential / indirect damage exclusion — one-way or mutual?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Missing carve-outs from cap: IP infringement, fraud, data breach — absence = risk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Insurance requirements — E&amp;O, cyber liability specified?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E. Termination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Termination for convenience — notice period, fees payable?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Termination for cause — cure period (typically 30 days)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Effects of termination — data return, license wind-down, transition assistance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Auto-renewal with inadequate notice period (&lt; 30 days) — lock-in trap</w:t>
      </w:r>
    </w:p>
    <w:p>
      <w:pPr>
        <w:spacing w:after="16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4. Suspicious Clause Detection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following clause patterns are automatically flagged as high-risk regardless of how they are presented: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4560"/>
      </w:tblGrid>
      <w:tr>
        <w:trPr>
          <w:tblHeader/>
        </w:trP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Pattern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Sus Clause Type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"perpetual, irrevocable, royalty-free license to use Your Data"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exploitation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Vendor keeps data forever; can use for model training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"We may modify these terms at any time"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Unilateral amendment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Future changes bind without notice or consent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"sole discretion" + termination / suspension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Arbitrary suspension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cure right, no appeal mechanism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Liability cap with no carve-outs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Inadequate protection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breach could exceed cap with zero recourse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"residuals" clause in NDA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IP / knowledge leakage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Engineers retain and freely use learned confidential info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Auto-renewal notice &lt; 30 days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Lock-in trap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Impossible to catch renewal window in practice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Assignment without consent on M&amp;A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Change of control risk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Obligations pass to unknown acquirer silently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"notwithstanding anything to the contrary"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Override bomb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Overrides ALL other protections in contract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SOW deliverable: "as mutually agreed"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Scope ambiguity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enforceable deliverable — disputes guaranteed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"best efforts" for critical obligations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Unenforceable standard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"Shall" required for material delivery obligations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DPA: no sub-processor list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GDPR Art. 28 breach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Mandatory; absence = regulatory exposure</w:t>
            </w:r>
          </w:p>
        </w:tc>
      </w:tr>
      <w:tr>
        <w:tc>
          <w:tcPr>
            <w:tcW w:type="dxa" w:w="2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restriction on AI training data use</w:t>
            </w:r>
          </w:p>
        </w:tc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Model contamination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 data trains competitor-facing models</w:t>
            </w:r>
          </w:p>
        </w:tc>
      </w:tr>
    </w:tbl>
    <w:p>
      <w:pPr>
        <w:spacing w:after="12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5. Redlining Output Format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For each Red Flag (🔴) and Review (🟡) clause, the plugin produces structured redline output:</w:t>
      </w:r>
    </w:p>
    <w:p>
      <w:pPr>
        <w:spacing w:after="120"/>
      </w:pPr>
    </w:p>
    <w:p>
      <w:pPr>
        <w:pBdr>
          <w:left w:val="single" w:color="C55A11" w:sz="12" w:space="4"/>
        </w:pBdr>
        <w:shd w:fill="FFF2CC" w:val="clear"/>
        <w:spacing w:after="80"/>
        <w:ind w:left="360"/>
      </w:pPr>
      <w:r>
        <w:rPr>
          <w:rFonts w:ascii="Courier New" w:cs="Courier New" w:eastAsia="Courier New" w:hAnsi="Courier New"/>
          <w:b/>
          <w:bCs/>
          <w:sz w:val="20"/>
          <w:szCs w:val="20"/>
        </w:rPr>
        <w:t xml:space="preserve">CLAUSE: [Section X.X — Clause Title]</w:t>
      </w:r>
    </w:p>
    <w:p>
      <w:pPr>
        <w:spacing w:after="8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RISK LEVEL: 🔴 Red Flag  |  ISSUE: [Plain-language problem description]</w:t>
      </w:r>
    </w:p>
    <w:p>
      <w:pPr>
        <w:spacing w:after="80"/>
        <w:ind w:left="360"/>
      </w:pPr>
      <w:r>
        <w:rPr>
          <w:rFonts w:ascii="Courier New" w:cs="Courier New" w:eastAsia="Courier New" w:hAnsi="Courier New"/>
          <w:color w:val="C00000"/>
          <w:sz w:val="20"/>
          <w:szCs w:val="20"/>
        </w:rPr>
        <w:t xml:space="preserve">ORIGINAL TEXT: "[exact clause text]"</w:t>
      </w:r>
    </w:p>
    <w:p>
      <w:pPr>
        <w:spacing w:after="80"/>
        <w:ind w:left="360"/>
      </w:pPr>
      <w:r>
        <w:rPr>
          <w:rFonts w:ascii="Courier New" w:cs="Courier New" w:eastAsia="Courier New" w:hAnsi="Courier New"/>
          <w:color w:val="375623"/>
          <w:sz w:val="20"/>
          <w:szCs w:val="20"/>
        </w:rPr>
        <w:t xml:space="preserve">REDLINED REPLACEMENT: "[suggested replacement text]"</w:t>
      </w:r>
    </w:p>
    <w:p>
      <w:pPr>
        <w:spacing w:after="8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RATIONALE: [why this change protects the client]</w:t>
      </w:r>
    </w:p>
    <w:p>
      <w:pPr>
        <w:spacing w:after="160"/>
        <w:ind w:left="360"/>
      </w:pPr>
      <w:r>
        <w:rPr>
          <w:rFonts w:ascii="Courier New" w:cs="Courier New" w:eastAsia="Courier New" w:hAnsi="Courier New"/>
          <w:i/>
          <w:iCs/>
          <w:sz w:val="20"/>
          <w:szCs w:val="20"/>
        </w:rPr>
        <w:t xml:space="preserve">JURISDICTION NOTE: [jurisdiction-specific call-out if applicable]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When exporting to Word (.docx), redlines are rendered as tracked changes (w:ins / w:del) with comments using the docx skill.</w:t>
      </w:r>
    </w:p>
    <w:p>
      <w:pPr>
        <w:spacing w:after="16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6. Contract Type Deep-Dives</w:t>
      </w:r>
    </w:p>
    <w:p>
      <w:pPr>
        <w:pBdr>
          <w:bottom w:val="single" w:color="2E75B6" w:sz="6" w:space="1"/>
        </w:pBdr>
        <w:spacing w:after="120" w:before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MSA — Master Services Agreement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MSA sets the legal framework. SOWs execute under it. Critical considerations: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SOW prevails over MSA conflict? Should be: MSA prevails except for commercial terms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IP ownership of deliverables — work-for-hire must be explicitly stated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Written change order procedure — approval timeline defined?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Audit rights for both compliance and financial accuracy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DPA — Data Processing Agreement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GDPR Art. 28 mandates ALL of the following elements. Absence of any = non-compliant: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Subject matter, nature, purpose, type of data, categories of data subjects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Duration of processing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Obligations and rights of the controller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Sub-processor approval mechanism and flow-down obligations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Data return or deletion on contract termination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Cooperation with supervisory authority obligation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Security measures referencing Art. 32 standards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India DPDP Act 2023 Specifics: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"Data Fiduciary" (controller) vs. "Data Processor" terminology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Data Principal (subject) rights — access, correction, erasure, grievance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Cross-border data transfer: whitelist model — only permitted to countries on approved list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SOW — Statement of Work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Golden rule: if it is not written, it is not in scope.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Deliverables defined in functional terms only — must have objective, measurable, time-bound acceptance criteria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Deemed acceptance clause — flag the approval period length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C00000"/>
          <w:sz w:val="22"/>
          <w:szCs w:val="22"/>
        </w:rPr>
        <w:t xml:space="preserve">🔴 No written change order = no scope change — this protection must be airtight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Payment tied to milestones preferred over calendar billing</w:t>
      </w:r>
    </w:p>
    <w:p>
      <w:pPr>
        <w:spacing w:after="120"/>
      </w:pP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LOE — Letter of 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Professional liability — capped? at what amount?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Engagement scope — specific enough to avoid later disputes?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Conflict of interest provisions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File retention policy and data handling post-engagement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000000"/>
          <w:sz w:val="22"/>
          <w:szCs w:val="22"/>
        </w:rPr>
        <w:t xml:space="preserve">Regulatory compliance for legal / audit engagements</w:t>
      </w:r>
    </w:p>
    <w:p>
      <w:pPr>
        <w:spacing w:after="16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7. Absolute Red Lines for Anthropic-Context Contracts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following are non-negotiable dealbreakers for AI/ML company contracts. Flag as REJECT: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3500"/>
        <w:gridCol w:w="5360"/>
      </w:tblGrid>
      <w:tr>
        <w:trPr>
          <w:tblHeader/>
        </w:trPr>
        <w:tc>
          <w:tcPr>
            <w:tcW w:type="dxa" w:w="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Red Line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Why Non-Negotiable</w:t>
            </w:r>
          </w:p>
        </w:tc>
      </w:tr>
      <w:tr>
        <w:tc>
          <w:tcPr>
            <w:tcW w:type="dxa" w:w="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Training data license without explicit opt-in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Vendor MUST NOT use customer data for model training — AI core IP risk</w:t>
            </w:r>
          </w:p>
        </w:tc>
      </w:tr>
      <w:tr>
        <w:tc>
          <w:tcPr>
            <w:tcW w:type="dxa" w:w="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Vendor claims ownership of AI-generated outputs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Customer prompts/data → customer owns outputs; vendor claim = theft of value</w:t>
            </w:r>
          </w:p>
        </w:tc>
      </w:tr>
      <w:tr>
        <w:tc>
          <w:tcPr>
            <w:tcW w:type="dxa" w:w="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Unlimited liability for IP indemnity without insurance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faces patent/copyright exposure; must be capped or insured separately</w:t>
            </w:r>
          </w:p>
        </w:tc>
      </w:tr>
      <w:tr>
        <w:tc>
          <w:tcPr>
            <w:tcW w:type="dxa" w:w="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4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No data deletion obligation (anonymization only)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Models must commit to true deletion, not just anonymization of training data</w:t>
            </w:r>
          </w:p>
        </w:tc>
      </w:tr>
      <w:tr>
        <w:tc>
          <w:tcPr>
            <w:tcW w:type="dxa" w:w="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5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Waiver of audit rights on data processing</w:t>
            </w:r>
          </w:p>
        </w:tc>
        <w:tc>
          <w:tcPr>
            <w:tcW w:type="dxa" w:w="5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Must retain right to audit or receive SOC 2 / ISO 27001 reports — non-negotiable</w:t>
            </w:r>
          </w:p>
        </w:tc>
      </w:tr>
    </w:tbl>
    <w:p>
      <w:pPr>
        <w:spacing w:after="16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8. Contract Review Summary Output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After full review, the plugin produces a structured summary:</w:t>
      </w:r>
    </w:p>
    <w:p>
      <w:pPr>
        <w:spacing w:after="120"/>
      </w:pPr>
    </w:p>
    <w:p>
      <w:pPr>
        <w:pBdr>
          <w:left w:val="single" w:color="1F4E79" w:sz="12" w:space="4"/>
        </w:pBdr>
        <w:shd w:fill="F2F2F2" w:val="clear"/>
        <w:spacing w:after="80"/>
        <w:ind w:left="360"/>
      </w:pPr>
      <w:r>
        <w:rPr>
          <w:rFonts w:ascii="Courier New" w:cs="Courier New" w:eastAsia="Courier New" w:hAnsi="Courier New"/>
          <w:b/>
          <w:bCs/>
          <w:color w:val="1F4E79"/>
          <w:sz w:val="22"/>
          <w:szCs w:val="22"/>
        </w:rPr>
        <w:t xml:space="preserve">CONTRACT REVIEW SUMMARY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Document: [Contract name/type]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Parties:  [Party A] ↔ [Party B]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Governing Law: [Jurisdiction]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Overall Risk Rating: 🔴 HIGH / 🟡 MEDIUM / 🟢 LOW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CRITICAL ISSUES (must fix before signing):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  1. [Issue + section reference]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RECOMMENDED CHANGES (negotiate if possible):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  1. [Issue + section reference]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MISSING PROTECTIONS (add these clauses):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  1. [Missing clause]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JURISDICTION ALERTS: [mandatory law conflicts]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DATA PROTECTION SCORE: [X/10]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IP PROTECTION SCORE:   [X/10]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LIABILITY BALANCE:     [X/10]</w:t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/>
      </w:r>
    </w:p>
    <w:p>
      <w:pPr>
        <w:spacing w:after="40"/>
        <w:ind w:left="360"/>
      </w:pPr>
      <w:r>
        <w:rPr>
          <w:rFonts w:ascii="Courier New" w:cs="Courier New" w:eastAsia="Courier New" w:hAnsi="Courier New"/>
          <w:sz w:val="20"/>
          <w:szCs w:val="20"/>
        </w:rPr>
        <w:t xml:space="preserve">RECOMMENDATION: ✅ Acceptable / ⚠️ Negotiate First / 🚫 Do Not Sign</w:t>
      </w:r>
    </w:p>
    <w:p>
      <w:pPr>
        <w:spacing w:after="160"/>
      </w:pPr>
    </w:p>
    <w:p>
      <w:r>
        <w:br w:type="page"/>
      </w: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9. Active Research Integration</w:t>
      </w:r>
    </w:p>
    <w:p>
      <w:pPr>
        <w:pBdr>
          <w:bottom w:val="single" w:color="2E75B6" w:sz="6" w:space="1"/>
        </w:pBdr>
        <w:spacing w:after="120" w:before="12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The plugin performs web research during review to verify current regulatory requirements. Key research actions:</w:t>
      </w:r>
    </w:p>
    <w:p>
      <w:pPr>
        <w:spacing w:after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500"/>
        <w:gridCol w:w="3860"/>
      </w:tblGrid>
      <w:tr>
        <w:trPr>
          <w:tblHeader/>
        </w:trP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Research Action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Query Pattern</w:t>
            </w:r>
          </w:p>
        </w:tc>
        <w:tc>
          <w:tcPr>
            <w:tcW w:type="dxa" w:w="38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Adequacy decisions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GDPR adequacy decision [country] [year]</w:t>
            </w:r>
          </w:p>
        </w:tc>
        <w:tc>
          <w:tcPr>
            <w:tcW w:type="dxa" w:w="38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Verify cross-border transfer legality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India DPDP updates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India DPDP Act 2023 requirements [topic]</w:t>
            </w:r>
          </w:p>
        </w:tc>
        <w:tc>
          <w:tcPr>
            <w:tcW w:type="dxa" w:w="38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Check whitelisted transfer countries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CCPA amendments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CCPA amendment [year] requirements</w:t>
            </w:r>
          </w:p>
        </w:tc>
        <w:tc>
          <w:tcPr>
            <w:tcW w:type="dxa" w:w="38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US state privacy law currency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SaaS liability benchmarks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standard SaaS liability cap benchmark [year]</w:t>
            </w:r>
          </w:p>
        </w:tc>
        <w:tc>
          <w:tcPr>
            <w:tcW w:type="dxa" w:w="38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Market-norm validation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Case law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[clause type] enforceability [jurisdiction] case law</w:t>
            </w:r>
          </w:p>
        </w:tc>
        <w:tc>
          <w:tcPr>
            <w:tcW w:type="dxa" w:w="38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Legal precedent check</w:t>
            </w:r>
          </w:p>
        </w:tc>
      </w:tr>
      <w:tr>
        <w:tc>
          <w:tcPr>
            <w:tcW w:type="dxa" w:w="2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DPA</w:t>
            </w:r>
          </w:p>
        </w:tc>
        <w:tc>
          <w:tcPr>
            <w:tcW w:type="dxa" w:w="3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 DPA template requirements</w:t>
            </w:r>
          </w:p>
        </w:tc>
        <w:tc>
          <w:tcPr>
            <w:tcW w:type="dxa" w:w="38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Verify vendor DPA alignment</w:t>
            </w:r>
          </w:p>
        </w:tc>
      </w:tr>
    </w:tbl>
    <w:p>
      <w:pPr>
        <w:spacing w:after="160"/>
      </w:pPr>
    </w:p>
    <w:p>
      <w:pPr>
        <w:pStyle w:val="Heading1"/>
        <w:spacing w:after="120" w:before="360"/>
      </w:pPr>
      <w:r>
        <w:rPr>
          <w:rFonts w:ascii="Arial" w:cs="Arial" w:eastAsia="Arial" w:hAnsi="Arial"/>
          <w:b/>
          <w:bCs/>
          <w:color w:val="1F4E79"/>
          <w:sz w:val="32"/>
          <w:szCs w:val="32"/>
        </w:rPr>
        <w:t xml:space="preserve">10. Legal Disclaimer</w:t>
      </w:r>
    </w:p>
    <w:p>
      <w:pPr>
        <w:pBdr>
          <w:bottom w:val="single" w:color="2E75B6" w:sz="6" w:space="1"/>
        </w:pBdr>
        <w:spacing w:after="120" w:before="120"/>
      </w:pPr>
    </w:p>
    <w:p>
      <w:pPr>
        <w:pBdr>
          <w:left w:val="single" w:color="C55A11" w:sz="12" w:space="4"/>
        </w:pBdr>
        <w:shd w:fill="FFF2CC" w:val="clear"/>
        <w:spacing w:after="160"/>
        <w:ind w:left="360"/>
      </w:pPr>
      <w:r>
        <w:rPr>
          <w:rFonts w:ascii="Arial" w:cs="Arial" w:eastAsia="Arial" w:hAnsi="Arial"/>
          <w:i/>
          <w:iCs/>
          <w:color w:val="C55A11"/>
          <w:sz w:val="22"/>
          <w:szCs w:val="22"/>
        </w:rPr>
        <w:t xml:space="preserve">⚠️  This analysis is AI-generated legal guidance, not legal advice. Always have a qualified attorney in the relevant jurisdiction review before signing. This tool identifies risk patterns and provides analytical frameworks; it does not replace professional legal counsel for binding commercial commitments.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  <w:spacing w:before="100"/>
    </w:pPr>
    <w:r>
      <w:rPr>
        <w:rFonts w:ascii="Arial" w:cs="Arial" w:eastAsia="Arial" w:hAnsi="Arial"/>
        <w:color w:val="595959"/>
        <w:sz w:val="16"/>
        <w:szCs w:val="16"/>
      </w:rPr>
      <w:t xml:space="preserve">Not Legal Advice. Consult qualified counsel before execution.    |    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spacing w:after="100"/>
    </w:pPr>
    <w:r>
      <w:rPr>
        <w:rFonts w:ascii="Arial" w:cs="Arial" w:eastAsia="Arial" w:hAnsi="Arial"/>
        <w:b/>
        <w:bCs/>
        <w:color w:val="1F4E79"/>
        <w:sz w:val="18"/>
        <w:szCs w:val="18"/>
      </w:rPr>
      <w:t xml:space="preserve">TECH CONTRACT REVIEW — LAWVE PLUGIN FOR ANTHROPIC</w:t>
    </w:r>
    <w:r>
      <w:rPr>
        <w:rFonts w:ascii="Arial" w:cs="Arial" w:eastAsia="Arial" w:hAnsi="Arial"/>
        <w:color w:val="595959"/>
        <w:sz w:val="18"/>
        <w:szCs w:val="18"/>
      </w:rPr>
      <w:t xml:space="preserve">    |    CONFIDENTIAL — AI-GENERATED LEGAL GUIDANCE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80"/>
      <w:outlineLvl w:val="2"/>
    </w:pPr>
    <w:rPr>
      <w:rFonts w:ascii="Arial" w:cs="Arial" w:eastAsia="Arial" w:hAnsi="Arial"/>
      <w:b/>
      <w:bCs/>
      <w:color w:val="595959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2026-05-24T14:14:51.749Z</dcterms:created>
  <dcterms:modified xsi:type="dcterms:W3CDTF">2026-05-24T14:14:51.749Z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